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7"/>
        <w:ind w:left="-495" w:right="-705" w:firstLine="0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/>
        </w:rPr>
        <w:t xml:space="preserve">Приложение  №  5   к приказу</w:t>
      </w:r>
      <w:r>
        <w:rPr>
          <w:rFonts w:cs="Times New Roman"/>
        </w:rPr>
      </w:r>
      <w:r>
        <w:rPr>
          <w:rFonts w:cs="Times New Roman"/>
        </w:rPr>
      </w:r>
    </w:p>
    <w:p>
      <w:pPr>
        <w:pStyle w:val="837"/>
        <w:ind w:left="-495" w:right="-705" w:firstLine="0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/>
        </w:rPr>
        <w:t xml:space="preserve">ГБУ «ЦСО </w:t>
      </w:r>
      <w:r>
        <w:rPr>
          <w:rFonts w:cs="Times New Roman"/>
        </w:rPr>
        <w:t xml:space="preserve">№ 9</w:t>
      </w:r>
      <w:r>
        <w:rPr>
          <w:rFonts w:cs="Times New Roman"/>
        </w:rPr>
        <w:t xml:space="preserve">»</w:t>
      </w:r>
      <w:r>
        <w:rPr>
          <w:rFonts w:cs="Times New Roman"/>
        </w:rPr>
      </w:r>
      <w:r>
        <w:rPr>
          <w:rFonts w:cs="Times New Roman"/>
        </w:rPr>
      </w:r>
    </w:p>
    <w:p>
      <w:pPr>
        <w:pStyle w:val="829"/>
        <w:ind w:left="0" w:right="-73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от « </w:t>
      </w:r>
      <w:r>
        <w:rPr>
          <w:rFonts w:ascii="Times New Roman" w:hAnsi="Times New Roman" w:cs="Times New Roman"/>
          <w:sz w:val="24"/>
          <w:szCs w:val="24"/>
        </w:rPr>
        <w:t xml:space="preserve">09 » январ</w:t>
      </w:r>
      <w:r>
        <w:rPr>
          <w:rFonts w:ascii="Times New Roman" w:hAnsi="Times New Roman" w:cs="Times New Roman"/>
          <w:sz w:val="24"/>
          <w:szCs w:val="24"/>
        </w:rPr>
        <w:t xml:space="preserve">я  202</w:t>
      </w:r>
      <w:r>
        <w:rPr>
          <w:rFonts w:ascii="Times New Roman" w:hAnsi="Times New Roman" w:cs="Times New Roman"/>
          <w:sz w:val="24"/>
          <w:szCs w:val="24"/>
        </w:rPr>
        <w:t xml:space="preserve">5 г.  № 11 - 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7"/>
        <w:ind w:left="-495" w:right="-705" w:firstLine="0"/>
        <w:jc w:val="center"/>
        <w:rPr>
          <w:rFonts w:cs="Times New Roman"/>
        </w:rPr>
      </w:pPr>
      <w:r>
        <w:rPr>
          <w:rFonts w:cs="Times New Roman"/>
          <w:b/>
          <w:highlight w:val="none"/>
        </w:rPr>
      </w:r>
      <w:r>
        <w:rPr>
          <w:rFonts w:cs="Times New Roman"/>
          <w:b/>
          <w:highlight w:val="none"/>
        </w:rPr>
      </w:r>
      <w:r>
        <w:rPr>
          <w:rFonts w:cs="Times New Roman"/>
        </w:rPr>
      </w:r>
    </w:p>
    <w:p>
      <w:pPr>
        <w:pStyle w:val="837"/>
        <w:ind w:left="-495" w:right="-705" w:firstLine="0"/>
        <w:jc w:val="center"/>
        <w:rPr>
          <w:rFonts w:cs="Times New Roman"/>
          <w:b/>
          <w:bCs/>
          <w:highlight w:val="none"/>
        </w:rPr>
      </w:pPr>
      <w:r>
        <w:rPr>
          <w:rFonts w:cs="Times New Roman"/>
          <w:b/>
        </w:rPr>
        <w:t xml:space="preserve">КАРТА КОРРУПЦИОННЫХ РИСКОВ</w:t>
      </w:r>
      <w:r>
        <w:rPr>
          <w:rFonts w:cs="Times New Roman"/>
          <w:b/>
          <w:bCs/>
          <w:highlight w:val="none"/>
        </w:rPr>
      </w:r>
      <w:r>
        <w:rPr>
          <w:rFonts w:cs="Times New Roman"/>
          <w:b/>
          <w:bCs/>
          <w:highlight w:val="none"/>
        </w:rPr>
      </w:r>
    </w:p>
    <w:p>
      <w:pPr>
        <w:pStyle w:val="837"/>
        <w:ind w:left="-495" w:right="-705" w:firstLine="0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ГБУ «</w:t>
      </w:r>
      <w:r>
        <w:rPr>
          <w:rFonts w:cs="Times New Roman"/>
          <w:b/>
        </w:rPr>
        <w:t xml:space="preserve">Ц</w:t>
      </w:r>
      <w:r>
        <w:rPr>
          <w:rFonts w:cs="Times New Roman"/>
          <w:b/>
        </w:rPr>
        <w:t xml:space="preserve">ентр социального обслуживания </w:t>
      </w:r>
      <w:r>
        <w:rPr>
          <w:rFonts w:cs="Times New Roman"/>
          <w:b/>
        </w:rPr>
        <w:t xml:space="preserve">№ 9</w:t>
      </w:r>
      <w:r>
        <w:rPr>
          <w:rFonts w:cs="Times New Roman"/>
          <w:b/>
        </w:rPr>
        <w:t xml:space="preserve">»</w:t>
      </w:r>
      <w:r>
        <w:rPr>
          <w:rFonts w:cs="Times New Roman"/>
          <w:b/>
        </w:rPr>
      </w:r>
      <w:r>
        <w:rPr>
          <w:rFonts w:cs="Times New Roman"/>
          <w:b/>
        </w:rPr>
      </w:r>
    </w:p>
    <w:p>
      <w:pPr>
        <w:pStyle w:val="837"/>
        <w:ind w:left="-495" w:right="-454" w:firstLine="0"/>
        <w:jc w:val="center"/>
        <w:rPr>
          <w:rFonts w:cs="Times New Roman"/>
          <w:b/>
        </w:rPr>
      </w:pPr>
      <w:r>
        <w:rPr>
          <w:rFonts w:cs="Times New Roman"/>
          <w:b/>
        </w:rPr>
      </w:r>
      <w:r>
        <w:rPr>
          <w:rFonts w:cs="Times New Roman"/>
          <w:b/>
        </w:rPr>
      </w:r>
      <w:r>
        <w:rPr>
          <w:rFonts w:cs="Times New Roman"/>
          <w:b/>
        </w:rPr>
      </w:r>
    </w:p>
    <w:p>
      <w:pPr>
        <w:pStyle w:val="837"/>
        <w:ind w:left="-495" w:right="-454" w:firstLine="495"/>
        <w:jc w:val="both"/>
        <w:rPr>
          <w:rFonts w:cs="Times New Roman"/>
        </w:rPr>
      </w:pPr>
      <w:r>
        <w:rPr>
          <w:rFonts w:cs="Times New Roman"/>
        </w:rPr>
        <w:t xml:space="preserve">Целью оценки коррупционных рисков является определ</w:t>
      </w:r>
      <w:r>
        <w:rPr>
          <w:rFonts w:cs="Times New Roman"/>
        </w:rPr>
        <w:t xml:space="preserve">ение конкретных процессов и видов деятельности учреждения, при реализации которых наиболее высока вероятность совершения сотрудниками учреждения коррупционных правонарушений, как в целях получения личной выгоды, так и в целях получения выгоды учреждением. </w:t>
      </w:r>
      <w:r>
        <w:rPr>
          <w:rFonts w:cs="Times New Roman"/>
        </w:rPr>
      </w:r>
      <w:r>
        <w:rPr>
          <w:rFonts w:cs="Times New Roman"/>
        </w:rPr>
      </w:r>
    </w:p>
    <w:p>
      <w:pPr>
        <w:pStyle w:val="837"/>
        <w:ind w:left="-495" w:right="-454" w:firstLine="495"/>
        <w:jc w:val="both"/>
        <w:rPr>
          <w:rFonts w:cs="Times New Roman"/>
        </w:rPr>
      </w:pPr>
      <w:r>
        <w:rPr>
          <w:rFonts w:cs="Times New Roman"/>
        </w:rPr>
        <w:t xml:space="preserve">Оценка коррупционных рисков является ва</w:t>
      </w:r>
      <w:r>
        <w:rPr>
          <w:rFonts w:cs="Times New Roman"/>
        </w:rPr>
        <w:t xml:space="preserve">жнейшим элементом антикоррупционной политики. Она позволяет обеспечить соответствие реализуемых антикоррупционных мероприятий специфике деятельности учреждения и рационально использовать ресурсы, направленные на проведение работы по профилактике коррупции.</w:t>
      </w:r>
      <w:r>
        <w:rPr>
          <w:rFonts w:cs="Times New Roman"/>
        </w:rPr>
      </w:r>
      <w:r>
        <w:rPr>
          <w:rFonts w:cs="Times New Roman"/>
        </w:rPr>
      </w:r>
    </w:p>
    <w:p>
      <w:pPr>
        <w:pStyle w:val="837"/>
        <w:ind w:right="-705" w:firstLine="567"/>
        <w:jc w:val="both"/>
        <w:rPr>
          <w:rFonts w:cs="Times New Roman"/>
        </w:rPr>
      </w:pPr>
      <w:r>
        <w:rPr>
          <w:rFonts w:cs="Times New Roman"/>
        </w:rPr>
      </w:r>
      <w:r>
        <w:rPr>
          <w:rFonts w:cs="Times New Roman"/>
        </w:rPr>
      </w:r>
      <w:r>
        <w:rPr>
          <w:rFonts w:cs="Times New Roman"/>
        </w:rPr>
      </w:r>
    </w:p>
    <w:tbl>
      <w:tblPr>
        <w:tblStyle w:val="840"/>
        <w:tblW w:w="15069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9"/>
        <w:gridCol w:w="3538"/>
        <w:gridCol w:w="2976"/>
        <w:gridCol w:w="2551"/>
        <w:gridCol w:w="1277"/>
        <w:gridCol w:w="4187"/>
      </w:tblGrid>
      <w:tr>
        <w:tblPrEx/>
        <w:trPr/>
        <w:tc>
          <w:tcPr>
            <w:tcW w:w="539" w:type="dxa"/>
            <w:textDirection w:val="lrTb"/>
            <w:noWrap w:val="false"/>
          </w:tcPr>
          <w:p>
            <w:pPr>
              <w:pStyle w:val="829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29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38" w:type="dxa"/>
            <w:textDirection w:val="lrTb"/>
            <w:noWrap w:val="false"/>
          </w:tcPr>
          <w:p>
            <w:pPr>
              <w:pStyle w:val="829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Процессы деятельности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29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(коррупционно-опасные полномочия)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29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Типовые ситуации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29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Наименование должности в учреждении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829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Степень риска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29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(низкая, средняя, высокая)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87" w:type="dxa"/>
            <w:textDirection w:val="lrTb"/>
            <w:noWrap w:val="false"/>
          </w:tcPr>
          <w:p>
            <w:pPr>
              <w:pStyle w:val="829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Меры по минимизации (устранения) коррупционного риска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39" w:type="dxa"/>
            <w:textDirection w:val="lrTb"/>
            <w:noWrap w:val="false"/>
          </w:tcPr>
          <w:p>
            <w:pPr>
              <w:pStyle w:val="829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38" w:type="dxa"/>
            <w:textDirection w:val="lrTb"/>
            <w:noWrap w:val="false"/>
          </w:tcPr>
          <w:p>
            <w:pPr>
              <w:pStyle w:val="829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Разработка локальных нормативных актов.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29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Наличие коррупционных фактов в локальных правовых актах, регламентирующих деятельность учреждения.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29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Директор,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29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зам. директора,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29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начальник филиала,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29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юрисконсульт.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829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низкая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87" w:type="dxa"/>
            <w:textDirection w:val="lrTb"/>
            <w:noWrap w:val="false"/>
          </w:tcPr>
          <w:p>
            <w:pPr>
              <w:pStyle w:val="829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Изучение нормативных документов по противодействию коррупции. Проведение юридической экспертизы локальных нормативных актов.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39" w:type="dxa"/>
            <w:textDirection w:val="lrTb"/>
            <w:noWrap w:val="false"/>
          </w:tcPr>
          <w:p>
            <w:pPr>
              <w:pStyle w:val="829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38" w:type="dxa"/>
            <w:textDirection w:val="lrTb"/>
            <w:noWrap w:val="false"/>
          </w:tcPr>
          <w:p>
            <w:pPr>
              <w:pStyle w:val="829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Принятие на работу сотрудников.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29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Предоставление не предусмотренных законом преимуществ (протекционизм, родственные связи) для поступления на работу в учреждение.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29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Директор,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29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зам. директора,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29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начальник филиала,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29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гл. бухгалтер,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29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спец. по кадрам.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829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низкая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87" w:type="dxa"/>
            <w:textDirection w:val="lrTb"/>
            <w:noWrap w:val="false"/>
          </w:tcPr>
          <w:p>
            <w:pPr>
              <w:pStyle w:val="829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Проведение собеседования при приеме на работу.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29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Коллегиальное принятие решений.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29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Разъяснительная работа с ответственными лицами о мерах ответственности за совершение коррупционных правонарушений.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39" w:type="dxa"/>
            <w:textDirection w:val="lrTb"/>
            <w:noWrap w:val="false"/>
          </w:tcPr>
          <w:p>
            <w:pPr>
              <w:pStyle w:val="829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3.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38" w:type="dxa"/>
            <w:textDirection w:val="lrTb"/>
            <w:noWrap w:val="false"/>
          </w:tcPr>
          <w:p>
            <w:pPr>
              <w:pStyle w:val="829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Работа со служебной информацией и персональными данными.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29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Использование в личных или групповых интересах информации полученной при выполнении служебных обязанностей, если такая информация не подлежит официальному распространению.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29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Директор,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29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зам. директора,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29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начальник филиала,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29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руководители подразделений,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29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гл. бухгалтер,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29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спец. по кадрам.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29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829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средняя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87" w:type="dxa"/>
            <w:textDirection w:val="lrTb"/>
            <w:noWrap w:val="false"/>
          </w:tcPr>
          <w:p>
            <w:pPr>
              <w:pStyle w:val="829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Соблюдение антикоррупционной политики учреждения. Ознакомление с нормативными документами, регламентирующими вопросы предупреждения и противодействия коррупции. Организация внутреннего контроля за исполнением сотрудниками должностных обязанностей.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39" w:type="dxa"/>
            <w:textDirection w:val="lrTb"/>
            <w:noWrap w:val="false"/>
          </w:tcPr>
          <w:p>
            <w:pPr>
              <w:pStyle w:val="829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4.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38" w:type="dxa"/>
            <w:textDirection w:val="lrTb"/>
            <w:noWrap w:val="false"/>
          </w:tcPr>
          <w:p>
            <w:pPr>
              <w:pStyle w:val="829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Осуществление функций по оказанию социальных услуг. Разработка и реализация индивидуальных программ предоставления социальных услуг и реабилитации.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29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Необоснованное внесение о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пределенных услуг в программы. Необоснованное внесение граждан в реестр получателей социальных услуг. Незаконный отказ в оказании социальных услуг. Искажение, сокрытие или предоставление заведомо ложных сведений в служебных учетных или отчетных документах.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29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Директор,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29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начальник филиала,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29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зав. отделением,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29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специалист по социальной работе,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29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социальный работник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829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низкая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87" w:type="dxa"/>
            <w:textDirection w:val="lrTb"/>
            <w:noWrap w:val="false"/>
          </w:tcPr>
          <w:p>
            <w:pPr>
              <w:pStyle w:val="829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Организация внутреннего контроля за выполнением работниками должностных обязанностей. Соблюдение кодекса этики и служебного поведения.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29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Достоверное ведение соответствующей документации при оказании социальных услуг.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39" w:type="dxa"/>
            <w:textDirection w:val="lrTb"/>
            <w:noWrap w:val="false"/>
          </w:tcPr>
          <w:p>
            <w:pPr>
              <w:pStyle w:val="829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5.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38" w:type="dxa"/>
            <w:textDirection w:val="lrTb"/>
            <w:noWrap w:val="false"/>
          </w:tcPr>
          <w:p>
            <w:pPr>
              <w:pStyle w:val="829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Получение и  распределение доходов от разрешенной приносящий доход деятельности учреждения.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29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Нецелевое использование бюджетных средств и средств, от разрешенной приносящий доход деятельности.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29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Директор,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29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Зам. директора,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29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начальник филиала,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29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гл. бухгалтер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829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средняя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87" w:type="dxa"/>
            <w:textDirection w:val="lrTb"/>
            <w:noWrap w:val="false"/>
          </w:tcPr>
          <w:p>
            <w:pPr>
              <w:pStyle w:val="829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Контроль за получением и распределением доходов. Привлечение к принятию решений представителей структурных подразделений.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29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Ознакомление с нормативными документами, регламентирующими вопросы предупреждения и противодействия коррупции.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29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39" w:type="dxa"/>
            <w:textDirection w:val="lrTb"/>
            <w:noWrap w:val="false"/>
          </w:tcPr>
          <w:p>
            <w:pPr>
              <w:pStyle w:val="829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6.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38" w:type="dxa"/>
            <w:textDirection w:val="lrTb"/>
            <w:noWrap w:val="false"/>
          </w:tcPr>
          <w:p>
            <w:pPr>
              <w:pStyle w:val="829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Осуществление закупок, размещение заказов, заключение договор на поставку товаров, оказание услуг, выполнение работ, заключенных для нужд учреждения.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29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Подготовка проектов  контрактов и договоров на выполнение уже фактически выполненных работ, оказанных услуг.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29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При приемке товара, оказанных услуг отказ от исправления выявленных нарушений. Осуществление нецелесообразных покупок. Совершение сделок с нарушением установленного порядка и требований закона в личных интересах.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29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Директор,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29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зам. директора,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29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начальник филиала,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29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гл. бухгалтер,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29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юрисконсульт.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829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низкая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87" w:type="dxa"/>
            <w:textDirection w:val="lrTb"/>
            <w:noWrap w:val="false"/>
          </w:tcPr>
          <w:p>
            <w:pPr>
              <w:pStyle w:val="829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Проведение антикоррупционной экспертизы проектов контракта, договора, технических заданий.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29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Ознакомление с нормативными документами, регламентирующими вопросы предупреждения и противодействия коррупции.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29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Соблюдение  федерального и регионального законодательства в области проведения закупок.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39" w:type="dxa"/>
            <w:textDirection w:val="lrTb"/>
            <w:noWrap w:val="false"/>
          </w:tcPr>
          <w:p>
            <w:pPr>
              <w:pStyle w:val="829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7.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38" w:type="dxa"/>
            <w:textDirection w:val="lrTb"/>
            <w:noWrap w:val="false"/>
          </w:tcPr>
          <w:p>
            <w:pPr>
              <w:pStyle w:val="829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Взаимоотношения с должностными лицами в органах власти и управления, контролирующих органах и других организациях.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29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Дарение подарков и оказание не служебных услуг должностным лицам в органах власти и управления, контролирующих органах и других организациях, в нарушение утвержденного в учреждении Положения о подарках и знаках делового внимания.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29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Директор,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29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зам. директора,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29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начальник филиала,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29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уполномоченное директором лицо.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829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средняя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87" w:type="dxa"/>
            <w:textDirection w:val="lrTb"/>
            <w:noWrap w:val="false"/>
          </w:tcPr>
          <w:p>
            <w:pPr>
              <w:pStyle w:val="829"/>
              <w:jc w:val="center"/>
              <w:spacing w:before="0" w:after="0" w:line="240" w:lineRule="auto"/>
              <w:widowControl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Соблюдение антикоррупционной политики учреждения.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r>
          </w:p>
          <w:p>
            <w:pPr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Ознакомление с нормативными документами, регламентирующими вопросы предупреждения и противодействия коррупции (Положение о подарках и знаках делового внимания).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829"/>
        <w:spacing w:before="0" w:after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6838" w:h="11906" w:orient="landscape"/>
      <w:pgMar w:top="425" w:right="1134" w:bottom="850" w:left="1134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2030504020204"/>
  </w:font>
  <w:font w:name="Mangal">
    <w:panose1 w:val="02040503050406030204"/>
  </w:font>
  <w:font w:name="Times New Roman">
    <w:panose1 w:val="02020603050405020304"/>
  </w:font>
  <w:font w:name="Microsoft YaHei">
    <w:panose1 w:val="020B0503020204020204"/>
  </w:font>
  <w:font w:name="Lucida Sans">
    <w:panose1 w:val="020B0602030504020204"/>
  </w:font>
  <w:font w:name="Liberation Sans">
    <w:panose1 w:val="020B060402020202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9"/>
    <w:next w:val="829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0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29"/>
    <w:next w:val="829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0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29"/>
    <w:next w:val="829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0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29"/>
    <w:next w:val="829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0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29"/>
    <w:next w:val="829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0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29"/>
    <w:next w:val="829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0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29"/>
    <w:next w:val="829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0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29"/>
    <w:next w:val="829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0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29"/>
    <w:next w:val="829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0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29"/>
    <w:next w:val="829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0"/>
    <w:link w:val="673"/>
    <w:uiPriority w:val="10"/>
    <w:rPr>
      <w:sz w:val="48"/>
      <w:szCs w:val="48"/>
    </w:rPr>
  </w:style>
  <w:style w:type="paragraph" w:styleId="675">
    <w:name w:val="Subtitle"/>
    <w:basedOn w:val="829"/>
    <w:next w:val="829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0"/>
    <w:link w:val="675"/>
    <w:uiPriority w:val="11"/>
    <w:rPr>
      <w:sz w:val="24"/>
      <w:szCs w:val="24"/>
    </w:rPr>
  </w:style>
  <w:style w:type="paragraph" w:styleId="677">
    <w:name w:val="Quote"/>
    <w:basedOn w:val="829"/>
    <w:next w:val="829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29"/>
    <w:next w:val="829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29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0"/>
    <w:link w:val="681"/>
    <w:uiPriority w:val="99"/>
  </w:style>
  <w:style w:type="paragraph" w:styleId="683">
    <w:name w:val="Footer"/>
    <w:basedOn w:val="829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0"/>
    <w:link w:val="683"/>
    <w:uiPriority w:val="99"/>
  </w:style>
  <w:style w:type="character" w:styleId="685">
    <w:name w:val="Caption Char"/>
    <w:basedOn w:val="834"/>
    <w:link w:val="683"/>
    <w:uiPriority w:val="99"/>
  </w:style>
  <w:style w:type="table" w:styleId="686">
    <w:name w:val="Table Grid Light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Plain Table 1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2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0">
    <w:name w:val="Plain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Plain Table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2">
    <w:name w:val="Grid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4">
    <w:name w:val="Grid Table 4 - Accent 1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5">
    <w:name w:val="Grid Table 4 - Accent 2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6">
    <w:name w:val="Grid Table 4 - Accent 3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7">
    <w:name w:val="Grid Table 4 - Accent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8">
    <w:name w:val="Grid Table 4 - Accent 5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9">
    <w:name w:val="Grid Table 4 - Accent 6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0">
    <w:name w:val="Grid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7">
    <w:name w:val="Grid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8">
    <w:name w:val="Grid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9">
    <w:name w:val="Grid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0">
    <w:name w:val="Grid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1">
    <w:name w:val="Grid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2">
    <w:name w:val="Grid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9">
    <w:name w:val="List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0">
    <w:name w:val="List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1">
    <w:name w:val="List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2">
    <w:name w:val="List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3">
    <w:name w:val="List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4">
    <w:name w:val="List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5">
    <w:name w:val="List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7">
    <w:name w:val="List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8">
    <w:name w:val="List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9">
    <w:name w:val="List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0">
    <w:name w:val="List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1">
    <w:name w:val="List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2">
    <w:name w:val="List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3">
    <w:name w:val="List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4">
    <w:name w:val="List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5">
    <w:name w:val="List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6">
    <w:name w:val="List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7">
    <w:name w:val="List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8">
    <w:name w:val="List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9">
    <w:name w:val="List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0">
    <w:name w:val="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2">
    <w:name w:val="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3">
    <w:name w:val="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4">
    <w:name w:val="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5">
    <w:name w:val="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6">
    <w:name w:val="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7">
    <w:name w:val="Bordered &amp; 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Bordered &amp; 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Bordered &amp; 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Bordered &amp; 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Bordered &amp; 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Bordered &amp; 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Bordered &amp; 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5">
    <w:name w:val="Bordered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6">
    <w:name w:val="Bordered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7">
    <w:name w:val="Bordered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8">
    <w:name w:val="Bordered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9">
    <w:name w:val="Bordered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0">
    <w:name w:val="Bordered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1">
    <w:name w:val="Hyperlink"/>
    <w:uiPriority w:val="99"/>
    <w:unhideWhenUsed/>
    <w:rPr>
      <w:color w:val="0000ff" w:themeColor="hyperlink"/>
      <w:u w:val="single"/>
    </w:rPr>
  </w:style>
  <w:style w:type="paragraph" w:styleId="812">
    <w:name w:val="footnote text"/>
    <w:basedOn w:val="829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basedOn w:val="830"/>
    <w:uiPriority w:val="99"/>
    <w:unhideWhenUsed/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basedOn w:val="830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qFormat/>
    <w:pPr>
      <w:jc w:val="left"/>
      <w:spacing w:before="0" w:after="200" w:line="276" w:lineRule="auto"/>
      <w:widowControl/>
    </w:pPr>
    <w:rPr>
      <w:rFonts w:ascii="Calibri" w:hAnsi="Calibri" w:eastAsia="Calibri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character" w:styleId="830" w:default="1">
    <w:name w:val="Default Paragraph Font"/>
    <w:uiPriority w:val="1"/>
    <w:semiHidden/>
    <w:unhideWhenUsed/>
    <w:qFormat/>
  </w:style>
  <w:style w:type="paragraph" w:styleId="831">
    <w:name w:val="Заголовок"/>
    <w:basedOn w:val="829"/>
    <w:next w:val="832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832">
    <w:name w:val="Body Text"/>
    <w:basedOn w:val="829"/>
    <w:pPr>
      <w:spacing w:before="0" w:after="140" w:line="276" w:lineRule="auto"/>
    </w:pPr>
  </w:style>
  <w:style w:type="paragraph" w:styleId="833">
    <w:name w:val="List"/>
    <w:basedOn w:val="832"/>
    <w:rPr>
      <w:rFonts w:cs="Lucida Sans"/>
    </w:rPr>
  </w:style>
  <w:style w:type="paragraph" w:styleId="834">
    <w:name w:val="Caption"/>
    <w:basedOn w:val="829"/>
    <w:qFormat/>
    <w:pPr>
      <w:spacing w:before="120" w:after="120"/>
      <w:suppressLineNumbers/>
    </w:pPr>
    <w:rPr>
      <w:rFonts w:cs="Lucida Sans"/>
      <w:i/>
      <w:iCs/>
      <w:sz w:val="24"/>
      <w:szCs w:val="24"/>
    </w:rPr>
  </w:style>
  <w:style w:type="paragraph" w:styleId="835">
    <w:name w:val="Указатель"/>
    <w:basedOn w:val="829"/>
    <w:qFormat/>
    <w:pPr>
      <w:suppressLineNumbers/>
    </w:pPr>
    <w:rPr>
      <w:rFonts w:cs="Lucida Sans"/>
    </w:rPr>
  </w:style>
  <w:style w:type="paragraph" w:styleId="836">
    <w:name w:val="List Paragraph"/>
    <w:basedOn w:val="829"/>
    <w:uiPriority w:val="34"/>
    <w:qFormat/>
    <w:pPr>
      <w:contextualSpacing/>
      <w:ind w:left="720" w:firstLine="0"/>
      <w:spacing w:before="0" w:after="200"/>
    </w:pPr>
  </w:style>
  <w:style w:type="paragraph" w:styleId="837" w:customStyle="1">
    <w:name w:val="Standard"/>
    <w:qFormat/>
    <w:pPr>
      <w:jc w:val="left"/>
      <w:spacing w:before="0" w:after="0" w:line="240" w:lineRule="auto"/>
      <w:widowControl w:val="off"/>
    </w:pPr>
    <w:rPr>
      <w:rFonts w:ascii="Times New Roman" w:hAnsi="Times New Roman" w:eastAsia="Lucida Sans Unicode" w:cs="Mangal"/>
      <w:color w:val="auto"/>
      <w:sz w:val="24"/>
      <w:szCs w:val="24"/>
      <w:lang w:val="ru-RU" w:eastAsia="zh-CN" w:bidi="hi-IN"/>
    </w:rPr>
  </w:style>
  <w:style w:type="numbering" w:styleId="838" w:default="1">
    <w:name w:val="No List"/>
    <w:uiPriority w:val="99"/>
    <w:semiHidden/>
    <w:unhideWhenUsed/>
    <w:qFormat/>
  </w:style>
  <w:style w:type="table" w:styleId="839" w:default="1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840">
    <w:name w:val="Table Grid"/>
    <w:basedOn w:val="839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Microsoft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dc:description/>
  <dc:language>ru-RU</dc:language>
  <cp:revision>16</cp:revision>
  <dcterms:created xsi:type="dcterms:W3CDTF">2020-09-08T10:24:00Z</dcterms:created>
  <dcterms:modified xsi:type="dcterms:W3CDTF">2025-01-10T04:05:55Z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