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</w:pPr>
      <w:r>
        <w:rPr>
          <w:color w:val="333333"/>
        </w:rPr>
        <w:t xml:space="preserve">Государственное бюджетное учреждение «Центр социального обслуживания №9»</w:t>
      </w:r>
      <w:r/>
    </w:p>
    <w:p>
      <w:pPr>
        <w:pStyle w:val="625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center"/>
      </w:pPr>
      <w:r>
        <w:rPr>
          <w:color w:val="333333"/>
        </w:rPr>
        <w:t xml:space="preserve">ПРОТОКОЛ № 4</w:t>
      </w:r>
      <w:r/>
    </w:p>
    <w:p>
      <w:pPr>
        <w:pStyle w:val="625"/>
        <w:jc w:val="center"/>
      </w:pPr>
      <w:r>
        <w:rPr>
          <w:color w:val="333333"/>
        </w:rPr>
        <w:t xml:space="preserve">заседания комиссии по противодействию коррупции</w:t>
      </w:r>
      <w:r/>
    </w:p>
    <w:p>
      <w:pPr>
        <w:pStyle w:val="625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</w:pPr>
      <w:r>
        <w:rPr>
          <w:color w:val="333333"/>
        </w:rPr>
        <w:tab/>
        <w:t xml:space="preserve">с. Кетово                                                                                                  </w:t>
      </w:r>
      <w:r>
        <w:rPr>
          <w:color w:val="333333"/>
        </w:rPr>
        <w:t xml:space="preserve"> 19 декабря 202</w:t>
      </w:r>
      <w:r>
        <w:rPr>
          <w:color w:val="333333"/>
        </w:rPr>
        <w:t xml:space="preserve">4 г.</w:t>
      </w:r>
      <w:r/>
    </w:p>
    <w:p>
      <w:pPr>
        <w:pStyle w:val="625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</w:pPr>
      <w:r>
        <w:rPr>
          <w:color w:val="333333"/>
        </w:rPr>
        <w:t xml:space="preserve">Присутствовали: Потоскуев А.А.    – председатель комиссии, специалист по социальной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                                  </w:t>
      </w:r>
      <w:r>
        <w:rPr>
          <w:color w:val="333333"/>
        </w:rPr>
        <w:t xml:space="preserve">работе АХР;</w:t>
      </w:r>
      <w:r/>
    </w:p>
    <w:p>
      <w:pPr>
        <w:pStyle w:val="625"/>
        <w:jc w:val="both"/>
      </w:pPr>
      <w:r>
        <w:rPr>
          <w:color w:val="333333"/>
        </w:rPr>
        <w:t xml:space="preserve">Члены комиссии: Соломенцева С.В. - главный бухгалтер;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Усольце</w:t>
      </w:r>
      <w:r>
        <w:rPr>
          <w:color w:val="333333"/>
        </w:rPr>
        <w:t xml:space="preserve">ва Е.</w:t>
      </w:r>
      <w:r>
        <w:rPr>
          <w:color w:val="333333"/>
        </w:rPr>
        <w:t xml:space="preserve">В.   </w:t>
      </w:r>
      <w:r>
        <w:rPr>
          <w:color w:val="333333"/>
        </w:rPr>
        <w:t xml:space="preserve">  - </w:t>
      </w:r>
      <w:r>
        <w:rPr>
          <w:color w:val="333333"/>
        </w:rPr>
        <w:t xml:space="preserve">специалист по кадрам</w:t>
      </w:r>
      <w:r>
        <w:rPr>
          <w:color w:val="333333"/>
        </w:rPr>
        <w:t xml:space="preserve">;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Труш Е.А.             - </w:t>
      </w:r>
      <w:r>
        <w:rPr>
          <w:color w:val="333333"/>
        </w:rPr>
        <w:t xml:space="preserve">заведующий хозяйством</w:t>
      </w:r>
      <w:r>
        <w:rPr>
          <w:color w:val="333333"/>
        </w:rPr>
        <w:t xml:space="preserve">;</w:t>
      </w:r>
      <w:r/>
    </w:p>
    <w:p>
      <w:pPr>
        <w:pStyle w:val="625"/>
        <w:jc w:val="both"/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Пастернак Л.Г.     - заведующая отделением;</w:t>
      </w:r>
      <w:r/>
    </w:p>
    <w:p>
      <w:pPr>
        <w:pStyle w:val="625"/>
        <w:jc w:val="both"/>
      </w:pPr>
      <w:r>
        <w:rPr>
          <w:color w:val="333333"/>
        </w:rPr>
        <w:t xml:space="preserve">Повестка дня:</w:t>
      </w:r>
      <w:r/>
    </w:p>
    <w:p>
      <w:pPr>
        <w:pStyle w:val="625"/>
        <w:numPr>
          <w:ilvl w:val="0"/>
          <w:numId w:val="2"/>
        </w:numPr>
        <w:jc w:val="both"/>
      </w:pPr>
      <w:r>
        <w:rPr>
          <w:color w:val="333333"/>
        </w:rPr>
        <w:t xml:space="preserve">Рассмотрение эффективности, а также порядка и условий заключения договоров в хозяйственной деятельности учреждения в 202</w:t>
      </w:r>
      <w:r>
        <w:rPr>
          <w:color w:val="333333"/>
        </w:rPr>
        <w:t xml:space="preserve">4 г.</w:t>
      </w:r>
      <w:r/>
    </w:p>
    <w:p>
      <w:pPr>
        <w:pStyle w:val="625"/>
        <w:numPr>
          <w:ilvl w:val="0"/>
          <w:numId w:val="2"/>
        </w:numPr>
        <w:jc w:val="both"/>
      </w:pPr>
      <w:r>
        <w:rPr>
          <w:color w:val="333333"/>
        </w:rPr>
        <w:t xml:space="preserve">О выполнении мероприятий предусмотренных планом учреждения по противодействию коррупции на 202</w:t>
      </w:r>
      <w:r>
        <w:rPr>
          <w:color w:val="333333"/>
        </w:rPr>
        <w:t xml:space="preserve">4 г. и планом работы комиссии по противодействию коррупции на 202</w:t>
      </w:r>
      <w:r>
        <w:rPr>
          <w:color w:val="333333"/>
        </w:rPr>
        <w:t xml:space="preserve">4 г. </w:t>
      </w:r>
      <w:r/>
    </w:p>
    <w:p>
      <w:pPr>
        <w:pStyle w:val="625"/>
        <w:numPr>
          <w:ilvl w:val="0"/>
          <w:numId w:val="2"/>
        </w:numPr>
        <w:jc w:val="both"/>
      </w:pPr>
      <w:r>
        <w:rPr>
          <w:color w:val="333333"/>
        </w:rPr>
        <w:t xml:space="preserve">Рассмотрение вопросов связанных с разработкой и подготовкой плана учреждения по противодействию коррупции на 202</w:t>
      </w:r>
      <w:r>
        <w:rPr>
          <w:color w:val="333333"/>
        </w:rPr>
        <w:t xml:space="preserve">5 г.</w:t>
      </w:r>
      <w:r/>
    </w:p>
    <w:p>
      <w:pPr>
        <w:pStyle w:val="625"/>
        <w:jc w:val="both"/>
      </w:pPr>
      <w:r>
        <w:rPr>
          <w:color w:val="333333"/>
        </w:rPr>
        <w:t xml:space="preserve">Слушали:</w:t>
      </w:r>
      <w:r/>
    </w:p>
    <w:p>
      <w:pPr>
        <w:pStyle w:val="625"/>
        <w:numPr>
          <w:ilvl w:val="0"/>
          <w:numId w:val="3"/>
        </w:numPr>
        <w:ind w:left="0" w:right="0" w:firstLine="426"/>
        <w:jc w:val="both"/>
      </w:pPr>
      <w:r>
        <w:rPr>
          <w:color w:val="333333"/>
        </w:rPr>
        <w:t xml:space="preserve">По первому вопросу заслушали П</w:t>
      </w:r>
      <w:r>
        <w:rPr>
          <w:color w:val="333333"/>
        </w:rPr>
        <w:t xml:space="preserve">отоскуева А.А.</w:t>
      </w:r>
      <w:r>
        <w:rPr>
          <w:color w:val="333333"/>
        </w:rPr>
        <w:t xml:space="preserve">, котор</w:t>
      </w:r>
      <w:r>
        <w:rPr>
          <w:color w:val="333333"/>
        </w:rPr>
        <w:t xml:space="preserve">ый</w:t>
      </w:r>
      <w:r>
        <w:rPr>
          <w:color w:val="333333"/>
        </w:rPr>
        <w:t xml:space="preserve"> пояснил что для осуществления хозяйственной деятельности и содержания зданий учреждением во  второй половине 202</w:t>
      </w:r>
      <w:r>
        <w:rPr>
          <w:color w:val="333333"/>
        </w:rPr>
        <w:t xml:space="preserve">3</w:t>
      </w:r>
      <w:r>
        <w:rPr>
          <w:color w:val="333333"/>
        </w:rPr>
        <w:t xml:space="preserve"> г. были заключены договора:  ИП Зыков Ю.А., ИП Егоров В.Е. ( приобретение хозяйственных товаров), ИП Неупокоев А.В., ИП Кузнецова Н.А. (ремонт транспортных средств), ИП Менцель А.В. (поставка пожарного оборудования), И</w:t>
      </w:r>
      <w:r>
        <w:rPr>
          <w:color w:val="333333"/>
        </w:rPr>
        <w:t xml:space="preserve">П</w:t>
      </w:r>
      <w:r>
        <w:rPr>
          <w:color w:val="333333"/>
        </w:rPr>
        <w:t xml:space="preserve"> Харитонова С.Ф. (поставка канцелярских принадлежностей),   ПАО СК «Росгосстрах» (ОСАГО автомобилей), ООО «Центр Автообслуживания» (ремонт транспортных средств), ООО «Контур Курган» (поставка и настройка оборудования), </w:t>
      </w:r>
      <w:r>
        <w:rPr>
          <w:color w:val="333333"/>
        </w:rPr>
        <w:t xml:space="preserve">ОО</w:t>
      </w:r>
      <w:r>
        <w:rPr>
          <w:color w:val="333333"/>
        </w:rPr>
        <w:t xml:space="preserve">О «Комус-Развитие» (поставка товаров), самозанятый Секисов И.В. (вывоз жидких бытовых отходов, ИП Важенин В.В. (приобретение новогодних украшений), ИП Головчанский Н.Н. (промывка и опресовка системы отопления). Нарушений законодательства при заключении договоров допущено не было. Все предприятия, организации и индивидуальные  предприниматели перед заключением договоров были проверены по реестру недобросовестных поставщиков. </w:t>
      </w:r>
      <w:r/>
    </w:p>
    <w:p>
      <w:pPr>
        <w:pStyle w:val="625"/>
        <w:numPr>
          <w:ilvl w:val="0"/>
          <w:numId w:val="3"/>
        </w:numPr>
        <w:ind w:left="0" w:right="0" w:firstLine="426"/>
        <w:jc w:val="both"/>
      </w:pPr>
      <w:r>
        <w:rPr>
          <w:color w:val="333333"/>
        </w:rPr>
        <w:t xml:space="preserve">По второму вопросу Потоскуев А.А. пояснил, что согласно плана по противодействию корруп</w:t>
      </w:r>
      <w:r>
        <w:rPr>
          <w:color w:val="333333"/>
        </w:rPr>
        <w:t xml:space="preserve">ции в учреждении были проведены все запланированные  мероприятия. На постоянной основе велась работа с сотрудниками учреждения по недопущению коррупционных правонарушений и соблюдения ими правил внутреннего распорядка  и этики поведения. Специалистом по ка</w:t>
      </w:r>
      <w:r>
        <w:rPr>
          <w:color w:val="333333"/>
        </w:rPr>
        <w:t xml:space="preserve">драм систематически проводиться работа по проверке достоверности предоставляемых персональных данных и их защите при передаче, использовании и дальнейшем хранении. Работа комиссии по противодействию коррупции строилась в соответствии с планом работы на 202</w:t>
      </w:r>
      <w:r>
        <w:rPr>
          <w:color w:val="333333"/>
        </w:rPr>
        <w:t xml:space="preserve">4 г. На комиссии были рассмотрены вопросы и мероприятия, как предусмотренные планом, так и возникающие в ходе повседневной деятельности учреждения.</w:t>
      </w:r>
      <w:r/>
    </w:p>
    <w:p>
      <w:pPr>
        <w:pStyle w:val="625"/>
        <w:numPr>
          <w:ilvl w:val="0"/>
          <w:numId w:val="3"/>
        </w:numPr>
        <w:ind w:left="0" w:right="0" w:firstLine="426"/>
        <w:jc w:val="both"/>
      </w:pPr>
      <w:r>
        <w:rPr>
          <w:color w:val="333333"/>
        </w:rPr>
        <w:t xml:space="preserve">По третьему вопросу </w:t>
      </w:r>
      <w:r>
        <w:rPr>
          <w:color w:val="333333"/>
        </w:rPr>
        <w:t xml:space="preserve">Усольцева Е.В.</w:t>
      </w:r>
      <w:r>
        <w:rPr>
          <w:color w:val="333333"/>
        </w:rPr>
        <w:t xml:space="preserve"> предложила перечень мероприятий необходимых включить в план на 202</w:t>
      </w:r>
      <w:r>
        <w:rPr>
          <w:color w:val="333333"/>
        </w:rPr>
        <w:t xml:space="preserve">5 г. В ходе обсуждения были определены сроки их проведения в 202</w:t>
      </w:r>
      <w:r>
        <w:rPr>
          <w:color w:val="333333"/>
        </w:rPr>
        <w:t xml:space="preserve">5 г. </w:t>
      </w:r>
      <w:r/>
    </w:p>
    <w:p>
      <w:pPr>
        <w:jc w:val="both"/>
      </w:pPr>
      <w:r>
        <w:rPr>
          <w:color w:val="333333"/>
          <w:highlight w:val="none"/>
        </w:rPr>
      </w:r>
      <w:r>
        <w:rPr>
          <w:color w:val="333333"/>
          <w:highlight w:val="none"/>
        </w:rPr>
      </w:r>
    </w:p>
    <w:p>
      <w:pPr>
        <w:pStyle w:val="625"/>
        <w:jc w:val="both"/>
        <w:rPr>
          <w:color w:val="333333"/>
          <w:highlight w:val="none"/>
        </w:rPr>
      </w:pPr>
      <w:r>
        <w:rPr>
          <w:color w:val="333333"/>
        </w:rPr>
        <w:t xml:space="preserve">Решение:</w:t>
      </w:r>
      <w:r/>
    </w:p>
    <w:p>
      <w:pPr>
        <w:pStyle w:val="625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Ограничиться обсуждением.</w:t>
      </w:r>
      <w:r/>
    </w:p>
    <w:p>
      <w:pPr>
        <w:pStyle w:val="625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Считать план мероприятий учреждения по противодействию коррупции на 202</w:t>
      </w:r>
      <w:r>
        <w:rPr>
          <w:color w:val="333333"/>
        </w:rPr>
        <w:t xml:space="preserve">4</w:t>
      </w:r>
      <w:r>
        <w:rPr>
          <w:color w:val="333333"/>
        </w:rPr>
        <w:t xml:space="preserve"> г. выполненным, с учетом выявленных и устраненных недостатков.</w:t>
      </w:r>
      <w:r/>
    </w:p>
    <w:p>
      <w:pPr>
        <w:pStyle w:val="625"/>
        <w:numPr>
          <w:ilvl w:val="0"/>
          <w:numId w:val="4"/>
        </w:numPr>
        <w:ind w:left="0" w:right="0" w:firstLine="426"/>
        <w:jc w:val="both"/>
      </w:pPr>
      <w:r>
        <w:rPr>
          <w:color w:val="333333"/>
        </w:rPr>
        <w:t xml:space="preserve">Подготовить план мероприятий учреждения по противодействию коррупции на 202</w:t>
      </w:r>
      <w:r>
        <w:rPr>
          <w:color w:val="333333"/>
        </w:rPr>
        <w:t xml:space="preserve">5 г. и план работы комиссии по противодействию коррупции на 202</w:t>
      </w:r>
      <w:r>
        <w:rPr>
          <w:color w:val="333333"/>
        </w:rPr>
        <w:t xml:space="preserve">5 г. и предоставить их директору на утверждение до 10.01.202</w:t>
      </w:r>
      <w:r>
        <w:rPr>
          <w:color w:val="333333"/>
        </w:rPr>
        <w:t xml:space="preserve">5 г.</w:t>
      </w:r>
      <w:r/>
    </w:p>
    <w:p>
      <w:pPr>
        <w:pStyle w:val="625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25"/>
        <w:jc w:val="both"/>
        <w:rPr>
          <w:color w:val="333333"/>
        </w:rPr>
      </w:pPr>
      <w:r>
        <w:rPr>
          <w:color w:val="333333"/>
        </w:rPr>
        <w:t xml:space="preserve">Председатель   комиссии                                                                                         А.А. Потоскуев</w:t>
      </w:r>
      <w:r>
        <w:rPr>
          <w:color w:val="333333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426" w:right="851" w:bottom="25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table" w:styleId="6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6">
    <w:name w:val="Заголовок 1"/>
    <w:basedOn w:val="625"/>
    <w:next w:val="625"/>
    <w:link w:val="625"/>
    <w:pPr>
      <w:numPr>
        <w:ilvl w:val="0"/>
        <w:numId w:val="1"/>
      </w:numPr>
      <w:jc w:val="center"/>
      <w:keepNext/>
      <w:outlineLvl w:val="0"/>
    </w:pPr>
    <w:rPr>
      <w:b/>
      <w:bCs/>
    </w:rPr>
  </w:style>
  <w:style w:type="character" w:styleId="627">
    <w:name w:val="WW8Num2z0"/>
    <w:next w:val="627"/>
    <w:link w:val="625"/>
  </w:style>
  <w:style w:type="character" w:styleId="628">
    <w:name w:val="WW8Num3z0"/>
    <w:next w:val="628"/>
    <w:link w:val="625"/>
  </w:style>
  <w:style w:type="character" w:styleId="629">
    <w:name w:val="WW8Num4z0"/>
    <w:next w:val="629"/>
    <w:link w:val="625"/>
  </w:style>
  <w:style w:type="character" w:styleId="630">
    <w:name w:val="WW8Num5z0"/>
    <w:next w:val="630"/>
    <w:link w:val="625"/>
    <w:rPr>
      <w:rFonts w:ascii="Times New Roman" w:hAnsi="Times New Roman" w:cs="Times New Roman"/>
    </w:rPr>
  </w:style>
  <w:style w:type="character" w:styleId="631">
    <w:name w:val="WW8Num6z0"/>
    <w:next w:val="631"/>
    <w:link w:val="625"/>
  </w:style>
  <w:style w:type="character" w:styleId="632">
    <w:name w:val="WW8Num7z0"/>
    <w:next w:val="632"/>
  </w:style>
  <w:style w:type="character" w:styleId="633">
    <w:name w:val="WW8Num8z0"/>
    <w:next w:val="633"/>
    <w:rPr>
      <w:rFonts w:ascii="Times New Roman" w:hAnsi="Times New Roman" w:cs="Times New Roman"/>
    </w:rPr>
  </w:style>
  <w:style w:type="character" w:styleId="634">
    <w:name w:val="WW8Num9z0"/>
    <w:next w:val="634"/>
    <w:link w:val="625"/>
    <w:rPr>
      <w:rFonts w:ascii="Times New Roman" w:hAnsi="Times New Roman" w:cs="Times New Roman"/>
    </w:rPr>
  </w:style>
  <w:style w:type="character" w:styleId="635">
    <w:name w:val="WW8Num10z0"/>
    <w:next w:val="635"/>
    <w:link w:val="625"/>
    <w:rPr>
      <w:rFonts w:ascii="Times New Roman" w:hAnsi="Times New Roman" w:cs="Times New Roman"/>
    </w:rPr>
  </w:style>
  <w:style w:type="character" w:styleId="636">
    <w:name w:val="WW8Num11z0"/>
    <w:next w:val="636"/>
    <w:link w:val="625"/>
  </w:style>
  <w:style w:type="character" w:styleId="637">
    <w:name w:val="WW8Num12z0"/>
    <w:next w:val="637"/>
    <w:link w:val="625"/>
  </w:style>
  <w:style w:type="character" w:styleId="638">
    <w:name w:val="WW8Num13z0"/>
    <w:next w:val="638"/>
    <w:link w:val="625"/>
    <w:rPr>
      <w:rFonts w:ascii="Arial" w:hAnsi="Arial" w:cs="Arial"/>
      <w:sz w:val="21"/>
    </w:rPr>
  </w:style>
  <w:style w:type="character" w:styleId="639">
    <w:name w:val="WW8Num14z0"/>
    <w:next w:val="639"/>
    <w:link w:val="625"/>
    <w:rPr>
      <w:rFonts w:ascii="Times New Roman" w:hAnsi="Times New Roman" w:cs="Times New Roman"/>
    </w:rPr>
  </w:style>
  <w:style w:type="character" w:styleId="640">
    <w:name w:val="WW8Num15z0"/>
    <w:next w:val="640"/>
    <w:link w:val="625"/>
  </w:style>
  <w:style w:type="character" w:styleId="641">
    <w:name w:val="WW8Num16z0"/>
    <w:next w:val="641"/>
    <w:link w:val="625"/>
  </w:style>
  <w:style w:type="character" w:styleId="642">
    <w:name w:val="WW8Num17z0"/>
    <w:next w:val="642"/>
    <w:link w:val="625"/>
    <w:rPr>
      <w:rFonts w:ascii="Times New Roman" w:hAnsi="Times New Roman" w:cs="Times New Roman"/>
    </w:rPr>
  </w:style>
  <w:style w:type="character" w:styleId="643">
    <w:name w:val="WW8Num18z0"/>
    <w:next w:val="643"/>
    <w:link w:val="625"/>
    <w:rPr>
      <w:rFonts w:ascii="Times New Roman" w:hAnsi="Times New Roman" w:cs="Times New Roman"/>
    </w:rPr>
  </w:style>
  <w:style w:type="character" w:styleId="644">
    <w:name w:val="WW8Num19z0"/>
    <w:next w:val="644"/>
    <w:link w:val="625"/>
    <w:rPr>
      <w:rFonts w:ascii="Times New Roman" w:hAnsi="Times New Roman" w:cs="Times New Roman"/>
    </w:rPr>
  </w:style>
  <w:style w:type="character" w:styleId="645">
    <w:name w:val="WW8NumSt3z0"/>
    <w:next w:val="645"/>
    <w:link w:val="625"/>
    <w:rPr>
      <w:rFonts w:ascii="Times New Roman" w:hAnsi="Times New Roman" w:cs="Times New Roman"/>
    </w:rPr>
  </w:style>
  <w:style w:type="character" w:styleId="646">
    <w:name w:val="WW8NumSt5z0"/>
    <w:next w:val="646"/>
    <w:link w:val="625"/>
    <w:rPr>
      <w:rFonts w:ascii="Times New Roman" w:hAnsi="Times New Roman" w:cs="Times New Roman"/>
    </w:rPr>
  </w:style>
  <w:style w:type="character" w:styleId="647">
    <w:name w:val="WW8NumSt6z0"/>
    <w:next w:val="647"/>
    <w:link w:val="625"/>
    <w:rPr>
      <w:rFonts w:ascii="Times New Roman" w:hAnsi="Times New Roman" w:cs="Times New Roman"/>
    </w:rPr>
  </w:style>
  <w:style w:type="character" w:styleId="648">
    <w:name w:val="WW8NumSt10z0"/>
    <w:next w:val="648"/>
    <w:link w:val="625"/>
    <w:rPr>
      <w:rFonts w:ascii="Times New Roman" w:hAnsi="Times New Roman" w:cs="Times New Roman"/>
    </w:rPr>
  </w:style>
  <w:style w:type="character" w:styleId="649">
    <w:name w:val="WW8NumSt16z0"/>
    <w:next w:val="649"/>
    <w:link w:val="625"/>
    <w:rPr>
      <w:rFonts w:ascii="Times New Roman" w:hAnsi="Times New Roman" w:cs="Times New Roman"/>
    </w:rPr>
  </w:style>
  <w:style w:type="character" w:styleId="650">
    <w:name w:val="WW8NumSt17z0"/>
    <w:next w:val="650"/>
    <w:link w:val="625"/>
    <w:rPr>
      <w:rFonts w:ascii="Times New Roman" w:hAnsi="Times New Roman" w:cs="Times New Roman"/>
    </w:rPr>
  </w:style>
  <w:style w:type="character" w:styleId="651">
    <w:name w:val="Основной шрифт абзаца"/>
    <w:next w:val="651"/>
    <w:link w:val="625"/>
  </w:style>
  <w:style w:type="character" w:styleId="652">
    <w:name w:val="Текст выноски Знак"/>
    <w:basedOn w:val="651"/>
    <w:next w:val="652"/>
    <w:link w:val="625"/>
    <w:rPr>
      <w:rFonts w:ascii="Tahoma" w:hAnsi="Tahoma" w:cs="Tahoma"/>
      <w:sz w:val="16"/>
      <w:szCs w:val="16"/>
    </w:rPr>
  </w:style>
  <w:style w:type="character" w:styleId="653">
    <w:name w:val="apple-converted-space"/>
    <w:basedOn w:val="651"/>
    <w:next w:val="653"/>
    <w:link w:val="625"/>
  </w:style>
  <w:style w:type="paragraph" w:styleId="654">
    <w:name w:val="Заголовок"/>
    <w:basedOn w:val="625"/>
    <w:next w:val="655"/>
    <w:link w:val="62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55">
    <w:name w:val="Основной текст"/>
    <w:basedOn w:val="625"/>
    <w:next w:val="655"/>
    <w:link w:val="625"/>
    <w:pPr>
      <w:spacing w:before="0" w:after="140" w:line="276" w:lineRule="auto"/>
    </w:pPr>
  </w:style>
  <w:style w:type="paragraph" w:styleId="656">
    <w:name w:val="Список"/>
    <w:basedOn w:val="655"/>
    <w:next w:val="656"/>
    <w:link w:val="625"/>
    <w:rPr>
      <w:rFonts w:cs="Lucida Sans"/>
    </w:rPr>
  </w:style>
  <w:style w:type="paragraph" w:styleId="657">
    <w:name w:val="Название"/>
    <w:basedOn w:val="625"/>
    <w:next w:val="657"/>
    <w:link w:val="625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58">
    <w:name w:val="Указатель"/>
    <w:basedOn w:val="625"/>
    <w:next w:val="658"/>
    <w:link w:val="625"/>
    <w:pPr>
      <w:suppressLineNumbers/>
    </w:pPr>
    <w:rPr>
      <w:rFonts w:cs="Lucida Sans"/>
    </w:rPr>
  </w:style>
  <w:style w:type="paragraph" w:styleId="659">
    <w:name w:val="Абзац списка"/>
    <w:basedOn w:val="625"/>
    <w:next w:val="659"/>
    <w:link w:val="625"/>
    <w:pPr>
      <w:contextualSpacing/>
      <w:ind w:left="720" w:right="0" w:firstLine="0"/>
      <w:spacing w:before="0" w:after="0"/>
    </w:pPr>
  </w:style>
  <w:style w:type="paragraph" w:styleId="660">
    <w:name w:val="WW-Базовый"/>
    <w:next w:val="660"/>
    <w:link w:val="625"/>
    <w:pPr>
      <w:spacing w:before="0" w:after="200" w:line="276" w:lineRule="auto"/>
      <w:widowControl/>
      <w:tabs>
        <w:tab w:val="left" w:pos="708" w:leader="none"/>
      </w:tabs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661">
    <w:name w:val="msonormalcxspmiddle"/>
    <w:basedOn w:val="625"/>
    <w:next w:val="661"/>
    <w:link w:val="625"/>
    <w:pPr>
      <w:spacing w:before="280" w:after="280"/>
    </w:pPr>
  </w:style>
  <w:style w:type="paragraph" w:styleId="662">
    <w:name w:val="Текст выноски"/>
    <w:basedOn w:val="625"/>
    <w:next w:val="662"/>
    <w:link w:val="625"/>
    <w:rPr>
      <w:rFonts w:ascii="Tahoma" w:hAnsi="Tahoma" w:cs="Tahoma"/>
      <w:sz w:val="16"/>
      <w:szCs w:val="16"/>
    </w:rPr>
  </w:style>
  <w:style w:type="character" w:styleId="824" w:default="1">
    <w:name w:val="Default Paragraph Font"/>
    <w:uiPriority w:val="1"/>
    <w:semiHidden/>
    <w:unhideWhenUsed/>
  </w:style>
  <w:style w:type="numbering" w:styleId="82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revision>9</cp:revision>
  <dcterms:created xsi:type="dcterms:W3CDTF">2022-01-13T10:41:00Z</dcterms:created>
  <dcterms:modified xsi:type="dcterms:W3CDTF">2024-12-13T05:25:53Z</dcterms:modified>
</cp:coreProperties>
</file>